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2024年中国共产主义</w:t>
      </w: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青年团海口市委员会</w:t>
      </w: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val="en-US" w:eastAsia="zh-CN"/>
        </w:rPr>
        <w:t>（以下简称：共青团海口市委员会）</w:t>
      </w:r>
    </w:p>
    <w:p>
      <w:pPr>
        <w:ind w:firstLine="1680"/>
        <w:jc w:val="center"/>
        <w:rPr>
          <w:sz w:val="84"/>
          <w:szCs w:val="84"/>
        </w:rPr>
      </w:pPr>
    </w:p>
    <w:p>
      <w:pPr>
        <w:ind w:firstLine="1680"/>
        <w:jc w:val="center"/>
        <w:rPr>
          <w:sz w:val="84"/>
          <w:szCs w:val="84"/>
        </w:rPr>
      </w:pPr>
    </w:p>
    <w:p>
      <w:pPr>
        <w:ind w:firstLine="1680"/>
        <w:jc w:val="center"/>
        <w:rPr>
          <w:sz w:val="84"/>
          <w:szCs w:val="84"/>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84"/>
          <w:szCs w:val="84"/>
        </w:rPr>
        <w:sectPr>
          <w:headerReference r:id="rId3" w:type="default"/>
          <w:pgSz w:w="11906" w:h="16838"/>
          <w:pgMar w:top="2098" w:right="1474" w:bottom="1984" w:left="1587" w:header="851" w:footer="1134" w:gutter="0"/>
          <w:pgNumType w:fmt="decimal"/>
          <w:cols w:space="720" w:num="1"/>
          <w:docGrid w:type="lines" w:linePitch="312" w:charSpace="0"/>
        </w:sectPr>
      </w:pPr>
    </w:p>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黑体" w:hAnsi="黑体" w:eastAsia="黑体"/>
          <w:sz w:val="32"/>
          <w:szCs w:val="32"/>
          <w:lang w:val="en-US"/>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共青团海口市委员会</w:t>
      </w:r>
      <w:r>
        <w:rPr>
          <w:rFonts w:hint="eastAsia" w:ascii="黑体" w:hAnsi="黑体" w:eastAsia="黑体"/>
          <w:sz w:val="32"/>
          <w:szCs w:val="32"/>
        </w:rPr>
        <w:t>概况</w:t>
      </w:r>
      <w:r>
        <w:rPr>
          <w:rFonts w:hint="eastAsia" w:ascii="Times New Roman" w:hAnsi="Times New Roman" w:eastAsia="黑体"/>
          <w:sz w:val="32"/>
          <w:szCs w:val="32"/>
          <w:lang w:val="en-US" w:eastAsia="zh-CN"/>
        </w:rPr>
        <w:t>...................................1</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主要职能</w:t>
      </w:r>
      <w:r>
        <w:rPr>
          <w:rFonts w:hint="eastAsia" w:ascii="Times New Roman" w:hAnsi="Times New Roman" w:eastAsia="黑体"/>
          <w:sz w:val="32"/>
          <w:szCs w:val="32"/>
          <w:lang w:val="en-US" w:eastAsia="zh-CN"/>
        </w:rPr>
        <w:t>...........................................................................1</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二、部门预算单位构成</w:t>
      </w:r>
      <w:r>
        <w:rPr>
          <w:rFonts w:hint="eastAsia" w:ascii="Times New Roman" w:hAnsi="Times New Roman" w:eastAsia="黑体"/>
          <w:sz w:val="32"/>
          <w:szCs w:val="32"/>
          <w:lang w:val="en-US" w:eastAsia="zh-CN"/>
        </w:rPr>
        <w:t>...........................................................3</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黑体" w:hAnsi="黑体" w:eastAsia="黑体"/>
          <w:sz w:val="32"/>
          <w:szCs w:val="32"/>
          <w:lang w:val="en-US"/>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黑体" w:hAnsi="黑体" w:eastAsia="黑体"/>
          <w:sz w:val="32"/>
          <w:szCs w:val="32"/>
          <w:lang w:val="en-US"/>
        </w:rPr>
      </w:pPr>
      <w:r>
        <w:rPr>
          <w:rFonts w:hint="eastAsia" w:ascii="仿宋_GB2312" w:hAnsi="仿宋_GB2312" w:eastAsia="仿宋_GB2312" w:cs="仿宋_GB2312"/>
          <w:sz w:val="32"/>
          <w:szCs w:val="32"/>
          <w:lang w:eastAsia="zh-CN"/>
        </w:rPr>
        <w:t>七、部门</w:t>
      </w:r>
      <w:r>
        <w:rPr>
          <w:rFonts w:hint="eastAsia" w:ascii="仿宋_GB2312" w:hAnsi="仿宋_GB2312" w:eastAsia="仿宋_GB2312" w:cs="仿宋_GB2312"/>
          <w:sz w:val="32"/>
          <w:szCs w:val="32"/>
        </w:rPr>
        <w:t>收支总表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eastAsia="zh-CN"/>
        </w:rPr>
        <w:t>八、部门</w:t>
      </w:r>
      <w:r>
        <w:rPr>
          <w:rFonts w:hint="eastAsia" w:ascii="仿宋_GB2312" w:hAnsi="仿宋_GB2312" w:eastAsia="仿宋_GB2312" w:cs="仿宋_GB2312"/>
          <w:sz w:val="32"/>
          <w:szCs w:val="32"/>
        </w:rPr>
        <w:t>收入总表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eastAsia="zh-CN"/>
        </w:rPr>
        <w:t>九、部门</w:t>
      </w:r>
      <w:r>
        <w:rPr>
          <w:rFonts w:hint="eastAsia" w:ascii="仿宋_GB2312" w:hAnsi="仿宋_GB2312" w:eastAsia="仿宋_GB2312" w:cs="仿宋_GB2312"/>
          <w:sz w:val="32"/>
          <w:szCs w:val="32"/>
        </w:rPr>
        <w:t>支出总表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黑体" w:hAnsi="黑体" w:eastAsia="黑体"/>
          <w:sz w:val="32"/>
          <w:szCs w:val="32"/>
          <w:lang w:val="en-US"/>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r>
        <w:rPr>
          <w:rFonts w:hint="eastAsia" w:ascii="Times New Roman" w:hAnsi="Times New Roman" w:eastAsia="黑体"/>
          <w:sz w:val="32"/>
          <w:szCs w:val="32"/>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黑体" w:hAnsi="黑体" w:eastAsia="黑体"/>
          <w:sz w:val="32"/>
          <w:szCs w:val="32"/>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黑体" w:hAnsi="黑体" w:eastAsia="黑体"/>
          <w:sz w:val="32"/>
          <w:szCs w:val="32"/>
          <w:lang w:val="en-US"/>
        </w:rPr>
      </w:pPr>
      <w:r>
        <w:rPr>
          <w:rFonts w:hint="eastAsia" w:ascii="Times New Roman" w:hAnsi="Times New Roman" w:eastAsia="黑体"/>
          <w:sz w:val="32"/>
          <w:szCs w:val="32"/>
          <w:lang w:val="en-US" w:eastAsia="zh-CN"/>
        </w:rPr>
        <w:t>...................................................................................................5</w:t>
      </w:r>
      <w:bookmarkStart w:id="0" w:name="_GoBack"/>
      <w:bookmarkEnd w:id="0"/>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黑体" w:hAnsi="黑体" w:eastAsia="黑体"/>
          <w:sz w:val="32"/>
          <w:szCs w:val="32"/>
          <w:lang w:val="en-US"/>
        </w:rPr>
        <w:sectPr>
          <w:footerReference r:id="rId4" w:type="default"/>
          <w:pgSz w:w="11906" w:h="16838"/>
          <w:pgMar w:top="2098" w:right="1474" w:bottom="1984" w:left="1587" w:header="851" w:footer="1134" w:gutter="0"/>
          <w:pgNumType w:fmt="decimal" w:start="1"/>
          <w:cols w:space="720" w:num="1"/>
          <w:docGrid w:type="lines" w:linePitch="312" w:charSpace="0"/>
        </w:sectPr>
      </w:pPr>
      <w:r>
        <w:rPr>
          <w:rFonts w:hint="eastAsia" w:ascii="黑体" w:hAnsi="黑体" w:eastAsia="黑体" w:cs="黑体"/>
          <w:sz w:val="32"/>
          <w:szCs w:val="32"/>
          <w:lang w:eastAsia="zh-CN"/>
        </w:rPr>
        <w:t>第四部分</w:t>
      </w:r>
      <w:r>
        <w:rPr>
          <w:rFonts w:hint="eastAsia" w:ascii="黑体" w:hAnsi="黑体" w:eastAsia="黑体" w:cs="黑体"/>
          <w:sz w:val="32"/>
          <w:szCs w:val="32"/>
          <w:lang w:val="en-US" w:eastAsia="zh-CN"/>
        </w:rPr>
        <w:t xml:space="preserve">  </w:t>
      </w:r>
      <w:r>
        <w:rPr>
          <w:rFonts w:hint="eastAsia" w:ascii="黑体" w:hAnsi="黑体" w:eastAsia="黑体"/>
          <w:sz w:val="32"/>
          <w:szCs w:val="32"/>
        </w:rPr>
        <w:t>名词解释</w:t>
      </w:r>
      <w:r>
        <w:rPr>
          <w:rFonts w:hint="eastAsia" w:ascii="Times New Roman" w:hAnsi="Times New Roman" w:eastAsia="黑体"/>
          <w:sz w:val="32"/>
          <w:szCs w:val="32"/>
          <w:lang w:val="en-US" w:eastAsia="zh-CN"/>
        </w:rPr>
        <w:t>..............................................................14</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黑体" w:hAnsi="黑体" w:eastAsia="黑体"/>
          <w:sz w:val="32"/>
          <w:szCs w:val="32"/>
        </w:rPr>
      </w:pPr>
    </w:p>
    <w:p>
      <w:pPr>
        <w:pStyle w:val="7"/>
        <w:keepNext w:val="0"/>
        <w:keepLines w:val="0"/>
        <w:pageBreakBefore w:val="0"/>
        <w:widowControl w:val="0"/>
        <w:numPr>
          <w:ilvl w:val="-1"/>
          <w:numId w:val="0"/>
        </w:numPr>
        <w:kinsoku/>
        <w:wordWrap/>
        <w:overflowPunct/>
        <w:topLinePunct w:val="0"/>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第一部分</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共青团海口市委员会</w:t>
      </w:r>
      <w:r>
        <w:rPr>
          <w:rFonts w:hint="eastAsia" w:ascii="方正小标宋简体" w:hAnsi="方正小标宋简体" w:eastAsia="方正小标宋简体" w:cs="方正小标宋简体"/>
          <w:color w:val="auto"/>
          <w:sz w:val="44"/>
          <w:szCs w:val="44"/>
        </w:rPr>
        <w:t>概况</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仿宋_GB2312" w:hAnsi="仿宋_GB2312" w:eastAsia="仿宋_GB2312" w:cs="仿宋_GB2312"/>
          <w:sz w:val="32"/>
          <w:szCs w:val="32"/>
        </w:rPr>
      </w:pPr>
    </w:p>
    <w:p>
      <w:pPr>
        <w:pStyle w:val="7"/>
        <w:keepNext w:val="0"/>
        <w:keepLines w:val="0"/>
        <w:pageBreakBefore w:val="0"/>
        <w:widowControl w:val="0"/>
        <w:numPr>
          <w:ilvl w:val="-1"/>
          <w:numId w:val="0"/>
        </w:numPr>
        <w:kinsoku/>
        <w:wordWrap/>
        <w:overflowPunct/>
        <w:topLinePunct w:val="0"/>
        <w:autoSpaceDN/>
        <w:bidi w:val="0"/>
        <w:adjustRightInd w:val="0"/>
        <w:snapToGrid w:val="0"/>
        <w:spacing w:line="560" w:lineRule="exact"/>
        <w:ind w:left="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val="0"/>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青团海口市委员会，是在中共海口市委和共青团海南省委领导下的全市共青团的领导机关。共青团海口市委员会内设6个正科级职能机构〔办公室、组织部、宣传与网络工作部（新媒体中心）、志愿服务与社会工作部（市青年志愿者协会秘书处）、青年发展部（联络部、市青年联合会秘书处）、学校与少年部</w:t>
      </w:r>
      <w:r>
        <w:rPr>
          <w:rFonts w:hint="eastAsia" w:ascii="仿宋_GB2312" w:hAnsi="仿宋_GB2312" w:eastAsia="仿宋_GB2312" w:cs="仿宋_GB2312"/>
          <w:color w:val="000000"/>
          <w:kern w:val="0"/>
          <w:sz w:val="32"/>
          <w:szCs w:val="32"/>
        </w:rPr>
        <w:t>（权益部、市学生联合会秘书处、市少先队工作委员会办公室）</w:t>
      </w:r>
      <w:r>
        <w:rPr>
          <w:rFonts w:hint="eastAsia" w:ascii="仿宋_GB2312" w:hAnsi="仿宋_GB2312" w:eastAsia="仿宋_GB2312" w:cs="仿宋_GB2312"/>
          <w:kern w:val="0"/>
          <w:sz w:val="32"/>
          <w:szCs w:val="32"/>
        </w:rPr>
        <w:t>〕、下属事业单位1个〔海南（海口）青少年活动中心〕。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职责是：（一）领导全市共青团工作，贯彻执行党的基本路线、方针和政策，提出各个时期全市共青团工作的目标任务，组织动员全市各级团组织和广大团员青年在海口“五位一体”建设中发挥党的助手和后备军作用。（二）掌握全市青少年思想动态和青少年工作开展状况，及时向市委、市政府报告有关情况，参与制定并推动实施与青少年相关的法律法规、发展规划和政策措施，承接政府青少年事务职能转移，发挥在社会治理中的重要渠道作用。（三）加强青少年思想政治教育，培育和践行社会主义核心价值观，弘扬中华民族优秀传统文化，引导青少年树立正确的世界观、人生观和价值观，培养有理想、有道德、有文化、有纪律的中国特色社会主义事业建设者和接班人，不断巩固和扩大党执政的青年群众基础。（四）围绕党政中心任务，结合青少年实际特点，组织开展青年创新创业创优活动、志愿服务活动及各类有益活动，完成市委、市政府和上级团组织部署的以青少年为主体的各项任务，发挥青少年在海口“五位一体”建设中的生力军和突击队作用。（五）加强服务能力、服务载体和服务机制建设，募集青少年事业发展经费，满足青少年成长成才需求，维护青少年合法权益，预防青少年违法犯罪，促进青少年健康发展。（六）坚持党建带团建，制定实施全市团组织、团干部和团员队伍建设的规划、政策和措施，协助选拔、培养和管理下一级团组织的领导班子，指导全市推荐优秀团员成为党的发展对象和向党组织推荐优秀青年干部工作，会同相关部门开展青年人才资源开发工作。（七）统筹全市团属互联网阵地建设，指导全市团属新媒体的建设、管理与运营，负责涉及我市青少年和团组织的舆情监测、分析和应对工作，提升全市青少年工作手段的信息化、网络化和现代化水平。（八）负责全市青年爱国统一战线工作，会同有关部门做好全市青少年外事工作，组织市内外青少年开展友好交流。（九）指导市青年联合会、市学生联合会开展工作，受党的委托领导全市少先队工作，统筹全市青年社会组织建设。（十）指导全市青少年活动阵地建设；领导海南（海口）青少年活动中心队伍建设、经费管理、活动开展、运营维护等各项工作，协同有关部门监管其非经营性国有资产。（十一）完成市委、市政府和上级团组织交办的其他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lang w:eastAsia="zh-CN"/>
        </w:rPr>
        <w:t>二、部门预算单位构成</w:t>
      </w:r>
    </w:p>
    <w:p>
      <w:pPr>
        <w:keepNext w:val="0"/>
        <w:keepLines w:val="0"/>
        <w:pageBreakBefore w:val="0"/>
        <w:widowControl w:val="0"/>
        <w:kinsoku/>
        <w:wordWrap/>
        <w:overflowPunct/>
        <w:topLinePunct w:val="0"/>
        <w:autoSpaceDE w:val="0"/>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纳入共青团海口市委员会20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年度部门</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算编制范围的二级预算单位包括：</w:t>
      </w:r>
    </w:p>
    <w:p>
      <w:pPr>
        <w:keepNext w:val="0"/>
        <w:keepLines w:val="0"/>
        <w:pageBreakBefore w:val="0"/>
        <w:widowControl w:val="0"/>
        <w:kinsoku/>
        <w:wordWrap/>
        <w:overflowPunct/>
        <w:topLinePunct w:val="0"/>
        <w:autoSpaceDE w:val="0"/>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（一）共青团海口市委员会本级</w:t>
      </w:r>
    </w:p>
    <w:p>
      <w:pPr>
        <w:keepNext w:val="0"/>
        <w:keepLines w:val="0"/>
        <w:pageBreakBefore w:val="0"/>
        <w:widowControl w:val="0"/>
        <w:kinsoku/>
        <w:wordWrap/>
        <w:overflowPunct/>
        <w:topLinePunct w:val="0"/>
        <w:autoSpaceDE w:val="0"/>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（二）海南（海口）青少年活动中心（下属单位）</w:t>
      </w:r>
    </w:p>
    <w:p>
      <w:pPr>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ascii="仿宋_GB2312" w:hAnsi="黑体" w:eastAsia="仿宋_GB2312" w:cs="仿宋_GB2312"/>
          <w:sz w:val="32"/>
          <w:szCs w:val="32"/>
        </w:rPr>
        <w:sectPr>
          <w:footerReference r:id="rId5" w:type="default"/>
          <w:pgSz w:w="11906" w:h="16838"/>
          <w:pgMar w:top="2098" w:right="1474" w:bottom="1984" w:left="1587" w:header="851" w:footer="1134" w:gutter="0"/>
          <w:pgNumType w:fmt="decimal" w:start="1"/>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第二部分</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共青团海口市委员会</w:t>
      </w:r>
      <w:r>
        <w:rPr>
          <w:rFonts w:hint="eastAsia" w:ascii="方正小标宋简体" w:hAnsi="方正小标宋简体" w:eastAsia="方正小标宋简体" w:cs="方正小标宋简体"/>
          <w:color w:val="auto"/>
          <w:sz w:val="44"/>
          <w:szCs w:val="44"/>
          <w:lang w:val="en-US" w:eastAsia="zh-CN"/>
        </w:rPr>
        <w:t>2024</w:t>
      </w:r>
      <w:r>
        <w:rPr>
          <w:rFonts w:hint="eastAsia" w:ascii="方正小标宋简体" w:hAnsi="方正小标宋简体" w:eastAsia="方正小标宋简体" w:cs="方正小标宋简体"/>
          <w:color w:val="auto"/>
          <w:sz w:val="44"/>
          <w:szCs w:val="44"/>
          <w:lang w:eastAsia="zh-CN"/>
        </w:rPr>
        <w:t>年</w:t>
      </w: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部门预算表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收支总表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收入总表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支出总表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0"/>
          <w:numId w:val="1"/>
        </w:numPr>
        <w:kinsoku/>
        <w:wordWrap/>
        <w:overflowPunct/>
        <w:topLinePunct w:val="0"/>
        <w:autoSpaceDN/>
        <w:bidi w:val="0"/>
        <w:adjustRightInd w:val="0"/>
        <w:snapToGrid w:val="0"/>
        <w:spacing w:line="560" w:lineRule="exact"/>
        <w:ind w:left="21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r>
        <w:rPr>
          <w:rFonts w:hint="eastAsia" w:ascii="仿宋_GB2312" w:hAnsi="仿宋_GB2312" w:eastAsia="仿宋_GB2312" w:cs="仿宋_GB2312"/>
          <w:sz w:val="32"/>
          <w:szCs w:val="32"/>
          <w:lang w:eastAsia="zh-CN"/>
        </w:rPr>
        <w:t>（见正文附件）</w:t>
      </w:r>
    </w:p>
    <w:p>
      <w:pPr>
        <w:pStyle w:val="7"/>
        <w:keepNext w:val="0"/>
        <w:keepLines w:val="0"/>
        <w:pageBreakBefore w:val="0"/>
        <w:widowControl w:val="0"/>
        <w:numPr>
          <w:ilvl w:val="-1"/>
          <w:numId w:val="0"/>
        </w:numPr>
        <w:kinsoku/>
        <w:wordWrap/>
        <w:overflowPunct/>
        <w:topLinePunct w:val="0"/>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sectPr>
          <w:pgSz w:w="11906" w:h="16838"/>
          <w:pgMar w:top="2098" w:right="1474" w:bottom="1984" w:left="1587" w:header="851" w:footer="1134" w:gutter="0"/>
          <w:pgNumType w:fmt="decimal"/>
          <w:cols w:space="720" w:num="1"/>
          <w:docGrid w:type="lines" w:linePitch="312" w:charSpace="0"/>
        </w:sectPr>
      </w:pP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第三部分</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共青团海口市委员会</w:t>
      </w:r>
      <w:r>
        <w:rPr>
          <w:rFonts w:hint="eastAsia" w:ascii="方正小标宋简体" w:hAnsi="方正小标宋简体" w:eastAsia="方正小标宋简体" w:cs="方正小标宋简体"/>
          <w:color w:val="auto"/>
          <w:sz w:val="44"/>
          <w:szCs w:val="44"/>
          <w:lang w:val="en-US" w:eastAsia="zh-CN"/>
        </w:rPr>
        <w:t>2024</w:t>
      </w:r>
      <w:r>
        <w:rPr>
          <w:rFonts w:hint="eastAsia" w:ascii="方正小标宋简体" w:hAnsi="方正小标宋简体" w:eastAsia="方正小标宋简体" w:cs="方正小标宋简体"/>
          <w:color w:val="auto"/>
          <w:sz w:val="44"/>
          <w:szCs w:val="44"/>
          <w:lang w:eastAsia="zh-CN"/>
        </w:rPr>
        <w:t>年</w:t>
      </w: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部门预算情况说明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财政拨款收支预算情况的总体说明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共青团海口市委员会2024年部门财政拨款收支总预算1369.51万元。其中，收入总计1369.51万元，包括一般公共预算本年收入1362.62万元、上年结转6.89万元，政府性基金预算本年收入0.00万元、上年结转0.00万元；支出总计1369.51万元，包括一般公共服务支出1164.85万元、外交支出0.00万元、国防支出0.00万元、公共安全支出0.00万元、教育支出0.00万元、科学技术支出0.00万元、文化旅游体育与传媒支出0.00万元、社会保障和就业支出93.19万元、社会保险基金支出0.00万元、卫生健康支出58.60万元、节能环保支出0.00万元、城乡社区支出0.00万元、农林水支出0.00万元、交通运输支出0.00万元、资源勘探工业信息等支出0.00万元、商业服务业等支出0.00万元、金融支出0.00万元、援助其他地区支出0.00万元、自然资源海洋气象等支出0.00万元、住房保障支出52.87万元、粮油物资储备支出0.00万元、国有资本经营预算支出0.00万元、灾害防治及应急管理支出0.00万元、预备费0.00万元、其他支出0.00万元、转移性支出0.00万元、债务还本支出0.00万元、债务付息支出0.00万元、债务发行费用支出0.00万元、抗疫特别国债安排的支出0.00万元，结转下年0.00万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一般公共预算当年拨款情况说明</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（一）一般公共预算当年规模变化情况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auto"/>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共青团海口市委员会2024年部门一般公共预算当年拨款1369.51万元，比上年预算数增加133.64万元，主要是共青团海口市委员会本级和下属单位2024年度在编在岗人数较上年增加</w:t>
      </w:r>
      <w:r>
        <w:rPr>
          <w:rFonts w:hint="eastAsia" w:ascii="Times New Roman" w:hAnsi="Times New Roman" w:eastAsia="仿宋_GB2312" w:cs="仿宋_GB2312"/>
          <w:color w:val="auto"/>
          <w:sz w:val="32"/>
          <w:szCs w:val="22"/>
          <w:shd w:val="clear" w:color="auto" w:fill="FFFFFF"/>
          <w:lang w:val="en-US" w:eastAsia="zh-CN"/>
        </w:rPr>
        <w:t>。</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一般公共服务（类）支出1164.85万元，占85.06%；外交（类）支出0.00万元，占0.00%；教育（类）支出0.00万元，占0.00%；科学技术（类）支出0.00万元，占0.00%；社会保障和就业（类）支出93.19万元，占6.80%；卫生健康（类）支出58.60万元，占4.28%；住房保障（类）支出52.87万元，占3.86%。</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1.一般公共服务（类）商贸事务（款）其他商贸事务（项）2024年预算数为120.67万元，比上年预算数减少1.94万元，主要是2024年年初预算中无第三届消费品博览会项目上年结转经费。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2.一般公共服务（类）群团体事务（款）行政运行（项）2024年预算数为292.38万元，比上年预算数增加65.32万元，主要是共青团海口市委员会本级和下属单位2024年度在编在岗人数增多。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3.一般公共服务（类）群团体事务（款）一般行政管理事务（项）2024年预算数为384.33万元，比上年预算数减少19.67万元，主要是2024年综合事务项目预算经费减少。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4.一般公共服务（类）群团体事务（款）其他群众团体事务（项）2024年预算数为367.47万元，比上年预算数增加46.60万元，主要是</w:t>
      </w:r>
      <w:r>
        <w:rPr>
          <w:rFonts w:hint="eastAsia" w:ascii="Times New Roman" w:hAnsi="Times New Roman" w:eastAsia="仿宋_GB2312" w:cs="仿宋_GB2312"/>
          <w:color w:val="auto"/>
          <w:sz w:val="32"/>
          <w:szCs w:val="22"/>
          <w:shd w:val="clear" w:color="auto" w:fill="FFFFFF"/>
          <w:lang w:val="en-US" w:eastAsia="zh-CN"/>
        </w:rPr>
        <w:t>海南（海口）青少年活动中心有4名职工调入</w:t>
      </w:r>
      <w:r>
        <w:rPr>
          <w:rFonts w:hint="eastAsia" w:ascii="Times New Roman" w:hAnsi="Times New Roman" w:eastAsia="仿宋_GB2312" w:cs="仿宋_GB2312"/>
          <w:sz w:val="32"/>
          <w:szCs w:val="22"/>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5.社会保障和就业（类）行政事业单位养老（款）机关事业单位基本养老保险缴费（项）2024年预算数为62.13万元，比上年预算数增加14.45万元，主要是</w:t>
      </w:r>
      <w:r>
        <w:rPr>
          <w:rFonts w:hint="eastAsia" w:ascii="Times New Roman" w:hAnsi="Times New Roman" w:eastAsia="仿宋_GB2312" w:cs="仿宋_GB2312"/>
          <w:color w:val="auto"/>
          <w:sz w:val="32"/>
          <w:szCs w:val="22"/>
          <w:shd w:val="clear" w:color="auto" w:fill="FFFFFF"/>
          <w:lang w:val="en-US" w:eastAsia="zh-CN"/>
        </w:rPr>
        <w:t>共青团海口市委员会本级和下属单位2024年度在编在岗人数增加，造成预算数增多。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6.社会保障和就业（类）行政事业单位养老（款）机关事业单位职业年金缴费支出（项）2024年预算数为31.06万元，比上年预算数增加7.22万元，主要是</w:t>
      </w:r>
      <w:r>
        <w:rPr>
          <w:rFonts w:hint="eastAsia" w:ascii="Times New Roman" w:hAnsi="Times New Roman" w:eastAsia="仿宋_GB2312" w:cs="仿宋_GB2312"/>
          <w:color w:val="auto"/>
          <w:sz w:val="32"/>
          <w:szCs w:val="22"/>
          <w:shd w:val="clear" w:color="auto" w:fill="FFFFFF"/>
          <w:lang w:val="en-US" w:eastAsia="zh-CN"/>
        </w:rPr>
        <w:t>共青团海口市委员会本级和下属单位2024年度在编在岗人数增加，造成预算数增多。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7.卫生健康（类）行政事业单位医疗（款）行政单位医疗（项）2024年预算数为17.05万元，比上年预算数增加1.86万元，主</w:t>
      </w:r>
      <w:r>
        <w:rPr>
          <w:rFonts w:hint="eastAsia" w:ascii="Times New Roman" w:hAnsi="Times New Roman" w:eastAsia="仿宋_GB2312" w:cs="仿宋_GB2312"/>
          <w:color w:val="auto"/>
          <w:sz w:val="32"/>
          <w:szCs w:val="22"/>
          <w:shd w:val="clear" w:color="auto" w:fill="FFFFFF"/>
          <w:lang w:val="en-US" w:eastAsia="zh-CN"/>
        </w:rPr>
        <w:t>要是共青团海口市委员会本级2024年度在编在岗人数增加，造成预算数增多。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8.卫生健康（类）行政事业单位医疗（款）事业单位医疗（项）2024年预算数为13.67万元，比上年预算数增加3.19万元，主要是</w:t>
      </w:r>
      <w:r>
        <w:rPr>
          <w:rFonts w:hint="eastAsia" w:ascii="Times New Roman" w:hAnsi="Times New Roman" w:eastAsia="仿宋_GB2312" w:cs="仿宋_GB2312"/>
          <w:color w:val="auto"/>
          <w:sz w:val="32"/>
          <w:szCs w:val="22"/>
          <w:shd w:val="clear" w:color="auto" w:fill="FFFFFF"/>
          <w:lang w:val="en-US" w:eastAsia="zh-CN"/>
        </w:rPr>
        <w:t>海南（海口）青少年活动中心有4名职工调入，造成预算数增多。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9.卫生健康（类）行政事业单位医疗（款）公务员医疗补助（项）2024年预算数为23.78万元，比上年预算数增加5.38万元，主要是共青团海口市委员会本级2024年在编在岗人数增加，造成预算数增多。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10.卫生健康（类）行政事业单位医疗（款）其他行政事业单位医疗（项）2024年预算数为4.11万元，比上年预算数增加4.11万元，主要是</w:t>
      </w:r>
      <w:r>
        <w:rPr>
          <w:rFonts w:hint="eastAsia" w:ascii="Times New Roman" w:hAnsi="Times New Roman" w:eastAsia="仿宋_GB2312" w:cs="仿宋_GB2312"/>
          <w:color w:val="auto"/>
          <w:sz w:val="32"/>
          <w:szCs w:val="22"/>
          <w:shd w:val="clear" w:color="auto" w:fill="FFFFFF"/>
          <w:lang w:val="en-US" w:eastAsia="zh-CN"/>
        </w:rPr>
        <w:t>共青团海口市委员会本级和下属单位2024年度在编在岗人数增加，造成体检费预算数增多。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11.住房保障（类）住房改革（款）住房公积金（项）2024年预算数为52.35万元，比上年预算数增加10.89万元，主要是共青团海口市委员会本级</w:t>
      </w:r>
      <w:r>
        <w:rPr>
          <w:rFonts w:hint="eastAsia" w:ascii="Times New Roman" w:hAnsi="Times New Roman" w:eastAsia="仿宋_GB2312" w:cs="仿宋_GB2312"/>
          <w:color w:val="auto"/>
          <w:sz w:val="32"/>
          <w:szCs w:val="22"/>
          <w:shd w:val="clear" w:color="auto" w:fill="FFFFFF"/>
          <w:lang w:val="en-US" w:eastAsia="zh-CN"/>
        </w:rPr>
        <w:t>2024年在编在岗人数增加，造成预算数增多。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12.住房保障（类）住房改革（款）购房补贴（项）2024年预算数为0.53万元，比上年预算数减少0.08万元，主要是</w:t>
      </w:r>
      <w:r>
        <w:rPr>
          <w:rFonts w:hint="eastAsia" w:ascii="Times New Roman" w:hAnsi="Times New Roman" w:eastAsia="仿宋_GB2312" w:cs="仿宋_GB2312"/>
          <w:color w:val="auto"/>
          <w:sz w:val="32"/>
          <w:szCs w:val="22"/>
          <w:shd w:val="clear" w:color="auto" w:fill="FFFFFF"/>
          <w:lang w:val="en-US" w:eastAsia="zh-CN"/>
        </w:rPr>
        <w:t>海南（海口）青少年活动中心有部分职工购房补贴已领取完毕。</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一般公共预算基本支出情况说明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共青团海口市委员会2024年部门一般公共预算基本支出为726.22万元，其中：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人员经费665.88万元，主要包括：基本工资、津贴补贴、奖金、绩效工资、机关事业单位基本养老保险缴费、职业年金缴费、职工基本医疗保险缴费、公务员医疗补助缴费、其他社会保障缴费、住房公积金、医疗费、其他工资福利支出、邮电费、其他交通费、奖励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公用经费60.35万元，主要包括：其他社会保障缴费、办公费、印刷费、咨询费、手续费、邮电费、差旅费、维修（护）费、租赁费、培训费、委托业务费、工会经费、公务用车运行维护费、其他商品和服务支出、救济费、办公设备购置。</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“三公”经费预算情况说明</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共青团海口市委员会</w:t>
      </w:r>
      <w:r>
        <w:rPr>
          <w:rFonts w:hint="eastAsia" w:ascii="楷体_GB2312" w:hAnsi="楷体_GB2312" w:eastAsia="楷体_GB2312" w:cs="楷体_GB2312"/>
          <w:color w:val="auto"/>
          <w:sz w:val="32"/>
          <w:szCs w:val="32"/>
          <w:lang w:val="en-US" w:eastAsia="zh-CN"/>
        </w:rPr>
        <w:t>2024</w:t>
      </w:r>
      <w:r>
        <w:rPr>
          <w:rFonts w:hint="eastAsia" w:ascii="楷体_GB2312" w:hAnsi="楷体_GB2312" w:eastAsia="楷体_GB2312" w:cs="楷体_GB2312"/>
          <w:color w:val="auto"/>
          <w:sz w:val="32"/>
          <w:szCs w:val="32"/>
        </w:rPr>
        <w:t>年</w:t>
      </w:r>
      <w:r>
        <w:rPr>
          <w:rFonts w:hint="eastAsia" w:ascii="楷体_GB2312" w:hAnsi="楷体_GB2312" w:eastAsia="楷体_GB2312" w:cs="楷体_GB2312"/>
          <w:color w:val="auto"/>
          <w:sz w:val="32"/>
          <w:szCs w:val="32"/>
          <w:lang w:eastAsia="zh-CN"/>
        </w:rPr>
        <w:t>部门</w:t>
      </w:r>
      <w:r>
        <w:rPr>
          <w:rFonts w:hint="eastAsia" w:ascii="楷体_GB2312" w:hAnsi="楷体_GB2312" w:eastAsia="楷体_GB2312" w:cs="楷体_GB2312"/>
          <w:color w:val="auto"/>
          <w:sz w:val="32"/>
          <w:szCs w:val="32"/>
        </w:rPr>
        <w:t>一般公共预算“三公”经费预算数为</w:t>
      </w:r>
      <w:r>
        <w:rPr>
          <w:rFonts w:hint="eastAsia" w:ascii="楷体_GB2312" w:hAnsi="楷体_GB2312" w:eastAsia="楷体_GB2312" w:cs="楷体_GB2312"/>
          <w:color w:val="auto"/>
          <w:sz w:val="32"/>
          <w:szCs w:val="32"/>
          <w:lang w:val="en-US" w:eastAsia="zh-CN"/>
        </w:rPr>
        <w:t>3.33</w:t>
      </w:r>
      <w:r>
        <w:rPr>
          <w:rFonts w:hint="eastAsia" w:ascii="楷体_GB2312" w:hAnsi="楷体_GB2312" w:eastAsia="楷体_GB2312" w:cs="楷体_GB2312"/>
          <w:color w:val="auto"/>
          <w:sz w:val="32"/>
          <w:szCs w:val="32"/>
        </w:rPr>
        <w:t>万元，其中：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因公出国（境）经费0.00万元，与上年预算持平，主要原因是2024年暂未编制此预算。根据外事部门等安排的2024年出国计划，拟安排出国（境）团（组）0次，出国（境）0人。出国（境）团组主要包括：1.无团组：目的地为无，人数为0人，天数为0天，主要任务为无；公务用车购置及运行费3.33万元（其中，公务用车购置费0.00万元，公务用车运行维护费3.33万元），比上年预算数减少0.17万元。公务车保有量1辆，计划报废并购置0辆；公务接待费0.00万元，与上年预算持平，主要原因是2024年暂未编制此预算。计划接待0批0人。</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eastAsia="zh-CN"/>
        </w:rPr>
        <w:t>共青团海口市委员会</w:t>
      </w:r>
      <w:r>
        <w:rPr>
          <w:rFonts w:hint="eastAsia" w:ascii="楷体_GB2312" w:hAnsi="楷体_GB2312" w:eastAsia="楷体_GB2312" w:cs="楷体_GB2312"/>
          <w:color w:val="auto"/>
          <w:sz w:val="32"/>
          <w:szCs w:val="32"/>
          <w:lang w:val="en-US" w:eastAsia="zh-CN"/>
        </w:rPr>
        <w:t>2024</w:t>
      </w:r>
      <w:r>
        <w:rPr>
          <w:rFonts w:hint="eastAsia" w:ascii="楷体_GB2312" w:hAnsi="楷体_GB2312" w:eastAsia="楷体_GB2312" w:cs="楷体_GB2312"/>
          <w:color w:val="auto"/>
          <w:sz w:val="32"/>
          <w:szCs w:val="32"/>
        </w:rPr>
        <w:t>年</w:t>
      </w:r>
      <w:r>
        <w:rPr>
          <w:rFonts w:hint="eastAsia" w:ascii="楷体_GB2312" w:hAnsi="楷体_GB2312" w:eastAsia="楷体_GB2312" w:cs="楷体_GB2312"/>
          <w:color w:val="auto"/>
          <w:sz w:val="32"/>
          <w:szCs w:val="32"/>
          <w:lang w:eastAsia="zh-CN"/>
        </w:rPr>
        <w:t>部门</w:t>
      </w:r>
      <w:r>
        <w:rPr>
          <w:rFonts w:hint="eastAsia" w:ascii="楷体_GB2312" w:hAnsi="楷体_GB2312" w:eastAsia="楷体_GB2312" w:cs="楷体_GB2312"/>
          <w:color w:val="auto"/>
          <w:sz w:val="32"/>
          <w:szCs w:val="32"/>
        </w:rPr>
        <w:t>政府性基金预算“三公”经费预算数为</w:t>
      </w:r>
      <w:r>
        <w:rPr>
          <w:rFonts w:hint="eastAsia" w:ascii="楷体_GB2312" w:hAnsi="楷体_GB2312" w:eastAsia="楷体_GB2312" w:cs="楷体_GB2312"/>
          <w:color w:val="auto"/>
          <w:sz w:val="32"/>
          <w:szCs w:val="32"/>
          <w:lang w:val="en-US" w:eastAsia="zh-CN"/>
        </w:rPr>
        <w:t>0.00</w:t>
      </w:r>
      <w:r>
        <w:rPr>
          <w:rFonts w:hint="eastAsia" w:ascii="楷体_GB2312" w:hAnsi="楷体_GB2312" w:eastAsia="楷体_GB2312" w:cs="楷体_GB2312"/>
          <w:color w:val="auto"/>
          <w:sz w:val="32"/>
          <w:szCs w:val="32"/>
        </w:rPr>
        <w:t>万元，其中：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因公出国（境）经费0.00万元，与上年预算持平，主要原因是2024年暂未编制此预算。根据外事部门等安排的2024年出国计划，拟安排出国（境）组0次，出国（境）0人。出国（境）团组主要包括：1.无团组：目的地为无，人数为0人，天数为0天，主要任务为无；公务用车购置及运行费0.00万元（其中，公务用车购置费0.00万元，公务用车运行维护费0.00万元），与上年预算持平，主要原因是2024年暂未编制此预算；公务车保有量0辆，计划购置0辆。公务接待费0.00万元，与上年预算持平，主要原因是2024年暂未编制此预算。计划接待0批0人。</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五、关于</w:t>
      </w:r>
      <w:r>
        <w:rPr>
          <w:rFonts w:hint="eastAsia" w:ascii="黑体" w:hAnsi="黑体" w:eastAsia="黑体"/>
          <w:sz w:val="32"/>
          <w:szCs w:val="32"/>
          <w:lang w:eastAsia="zh-CN"/>
        </w:rPr>
        <w:t>共青团海口市委员会</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政府性基金预算当年拨款情况说明</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共青团海口市委员会2024年部门政府性基金预算当年拨款0.00万元，与上年预算数持平，主要原因是2024年暂未编制此预算。</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科学技术支出（类）支出0.00万元，占0%；文化体育与传媒支出（类）支出0.00万元，占0%；社会保障和就业支出（类）支出0.00万元，占0%；节能环保（类）支出0.00万元，占0%。</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1.科学技术支出（类）核电站乏燃料处理处置基金支出（款）乏燃料运输（项）2024年预算数为0.00万元，与上年预算数持平，主要是主要原因是2024年暂未编制此预算。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2.科学技术支出（类）核电站乏燃料处理处置基金支出（款）乏燃料离堆贮存（项）2024年预算数为0.00万元，与上年预算数持平，主要是主要原因是2024年暂未编制此预算。</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共青团海口市委员会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部门</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按照综合预算原则，共青团海口市委员会部门所有收入和支出均纳入部门预算管理。收入包括：一般公共预算拨款收入、政府性基金预算拨款收入、国有资本经营预算拨款收入、财政专户管理资金收入、事业收入、上级补助收入、附属单位上缴收入、事业单位经营收入，其他收入及上年结转；支出包括：一般公共服务支出、社会保障和就业支出、卫生健康支出、住房保障支出等。共青团海口市委员会2024年部门收支总预算2580.84万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共青团海口市委员会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部门</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22"/>
          <w:shd w:val="clear" w:color="auto" w:fill="FFFFFF"/>
          <w:lang w:val="en-US" w:eastAsia="zh-CN"/>
        </w:rPr>
      </w:pPr>
      <w:r>
        <w:rPr>
          <w:rFonts w:hint="eastAsia" w:ascii="Times New Roman" w:hAnsi="Times New Roman" w:eastAsia="仿宋_GB2312" w:cs="仿宋_GB2312"/>
          <w:color w:val="auto"/>
          <w:sz w:val="32"/>
          <w:szCs w:val="22"/>
          <w:shd w:val="clear" w:color="auto" w:fill="FFFFFF"/>
          <w:lang w:val="en-US" w:eastAsia="zh-CN"/>
        </w:rPr>
        <w:t>共青团海口市委员会2024年部门收入预算2580.84万元，其中：上年结转6.89万元，占0.27%；经费拨款收入1362.62万元，占52.80%；政府性基金收入0.00万元，占0%；专项收入0.00万元，占0%；其他收入1211.33万元，占46.94%。比上年预算数增加134.45万元，主要是海南（海口）青少年活动中心其他收入预算增加，用于开展文体赛事活动以及少儿培训教师劳务费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共青团海口市委员会</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部门</w:t>
      </w:r>
      <w:r>
        <w:rPr>
          <w:rFonts w:hint="eastAsia" w:ascii="黑体" w:hAnsi="黑体" w:eastAsia="黑体" w:cs="Times New Roman"/>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共青团海口市委员会2024年部门支出预算2580.84万元，其中：基本支出944.05万元，占36.58%；项目支出1636.79万元，占63.42%。比上年预算数增加85.21万元，</w:t>
      </w:r>
      <w:r>
        <w:rPr>
          <w:rFonts w:hint="eastAsia" w:ascii="Times New Roman" w:hAnsi="Times New Roman" w:eastAsia="仿宋_GB2312" w:cs="仿宋_GB2312"/>
          <w:color w:val="auto"/>
          <w:sz w:val="32"/>
          <w:szCs w:val="22"/>
          <w:shd w:val="clear" w:color="auto" w:fill="FFFFFF"/>
          <w:lang w:val="en-US" w:eastAsia="zh-CN"/>
        </w:rPr>
        <w:t>主要是海南（海口）青少年活动中心其他收入预算增加，用于开展文体赛事活动以及少儿培训教师劳务费等。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（一）机关运行经费</w:t>
      </w:r>
      <w:r>
        <w:rPr>
          <w:rFonts w:hint="eastAsia" w:ascii="Times New Roman" w:hAnsi="Times New Roman" w:eastAsia="楷体_GB2312" w:cs="楷体_GB2312"/>
          <w:color w:val="auto"/>
          <w:sz w:val="32"/>
          <w:szCs w:val="32"/>
          <w:lang w:val="en-US" w:eastAsia="zh-CN"/>
        </w:rPr>
        <w:t>（</w:t>
      </w:r>
      <w:r>
        <w:rPr>
          <w:rFonts w:hint="eastAsia" w:ascii="Times New Roman" w:hAnsi="Times New Roman" w:eastAsia="楷体_GB2312" w:cs="楷体_GB2312"/>
          <w:color w:val="auto"/>
          <w:sz w:val="32"/>
          <w:szCs w:val="32"/>
        </w:rPr>
        <w:t>行政单位</w:t>
      </w: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参照公务员法管理的事业单位</w:t>
      </w:r>
      <w:r>
        <w:rPr>
          <w:rFonts w:hint="eastAsia" w:ascii="Times New Roman" w:hAnsi="Times New Roman" w:eastAsia="楷体_GB2312" w:cs="楷体_GB2312"/>
          <w:color w:val="auto"/>
          <w:sz w:val="32"/>
          <w:szCs w:val="32"/>
          <w:lang w:eastAsia="zh-CN"/>
        </w:rPr>
        <w:t>需说明，其他单位不需要说明</w:t>
      </w:r>
      <w:r>
        <w:rPr>
          <w:rFonts w:hint="eastAsia" w:ascii="Times New Roman" w:hAnsi="Times New Roman"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2024年共青团海口市委员会部门本级的机关运行经费预算41.07万元。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（二）政府采购情况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2024年共青团海口市委员会部门政府采购预算总额0.00万元，其中：政府采购货物预算0.00万元，政府采购工程预算0.00万元，政府采购服务预算0.00万元。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（三）国有资产占有使用情况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22"/>
          <w:shd w:val="clear" w:color="auto" w:fill="FFFFFF"/>
          <w:lang w:val="en-US" w:eastAsia="zh-CN"/>
        </w:rPr>
      </w:pPr>
      <w:r>
        <w:rPr>
          <w:rFonts w:hint="eastAsia" w:ascii="Times New Roman" w:hAnsi="Times New Roman" w:eastAsia="仿宋_GB2312" w:cs="仿宋_GB2312"/>
          <w:sz w:val="32"/>
          <w:szCs w:val="22"/>
          <w:shd w:val="clear" w:color="auto" w:fill="FFFFFF"/>
          <w:lang w:val="en-US" w:eastAsia="zh-CN"/>
        </w:rPr>
        <w:t>截至2024年12月31日，共青团海口市委员会本级及下属预算单位共有车辆1辆，其中，领导干部用车0辆，机要通信应急用车1辆、一般执法执勤用车0辆、特种专业技术用车0辆、其他用车0辆。单位价值100万元以上设备0台（套）。</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（四）绩效目标设置情况</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22"/>
          <w:shd w:val="clear" w:color="auto" w:fill="FFFFFF"/>
          <w:lang w:val="en-US" w:eastAsia="zh-CN"/>
        </w:rPr>
        <w:t>2024年共青团海口市委员会部门16个项目实行绩效目标管理，涉及一般公共预算1362.62万元、政府性基金0.00万元、单位资金1211.33万元。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sectPr>
          <w:pgSz w:w="11906" w:h="16838"/>
          <w:pgMar w:top="2098" w:right="1474" w:bottom="1984" w:left="1587" w:header="851" w:footer="1134" w:gutter="0"/>
          <w:pgNumType w:fmt="decimal"/>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pStyle w:val="7"/>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第四部分  名词解释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2098" w:right="1474" w:bottom="1984" w:left="1587" w:header="851" w:footer="113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19D4"/>
    <w:multiLevelType w:val="singleLevel"/>
    <w:tmpl w:val="589519D4"/>
    <w:lvl w:ilvl="0" w:tentative="0">
      <w:start w:val="1"/>
      <w:numFmt w:val="chineseCounting"/>
      <w:suff w:val="nothing"/>
      <w:lvlText w:val="%1、"/>
      <w:lvlJc w:val="left"/>
      <w:pPr>
        <w:ind w:left="210"/>
      </w:pPr>
      <w:rPr>
        <w:rFonts w:hint="eastAsia"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34542"/>
    <w:rsid w:val="0BFB0939"/>
    <w:rsid w:val="19D5DA33"/>
    <w:rsid w:val="19FE4CFA"/>
    <w:rsid w:val="1A9E42DA"/>
    <w:rsid w:val="1C6F64AB"/>
    <w:rsid w:val="1EC31EAE"/>
    <w:rsid w:val="1EFF6F62"/>
    <w:rsid w:val="1FBF8E30"/>
    <w:rsid w:val="1FFFFAFA"/>
    <w:rsid w:val="25DD998E"/>
    <w:rsid w:val="2BAB7288"/>
    <w:rsid w:val="2BDF0DC0"/>
    <w:rsid w:val="2BE52FE8"/>
    <w:rsid w:val="2BFF1F5E"/>
    <w:rsid w:val="2DF304BF"/>
    <w:rsid w:val="2FF7110D"/>
    <w:rsid w:val="2FFB3FD8"/>
    <w:rsid w:val="2FFFCED3"/>
    <w:rsid w:val="2FFFFAED"/>
    <w:rsid w:val="303B9461"/>
    <w:rsid w:val="33B164CB"/>
    <w:rsid w:val="35B5DD01"/>
    <w:rsid w:val="373FA640"/>
    <w:rsid w:val="377F2CE6"/>
    <w:rsid w:val="37FB8C18"/>
    <w:rsid w:val="37FD9081"/>
    <w:rsid w:val="39FDBE92"/>
    <w:rsid w:val="3C7F475B"/>
    <w:rsid w:val="3CBF0F78"/>
    <w:rsid w:val="3D2ECF5B"/>
    <w:rsid w:val="3D7E2668"/>
    <w:rsid w:val="3D974453"/>
    <w:rsid w:val="3DBFB5ED"/>
    <w:rsid w:val="3DDFC80D"/>
    <w:rsid w:val="3EAC9FF1"/>
    <w:rsid w:val="3F4F78E3"/>
    <w:rsid w:val="3F54B4FF"/>
    <w:rsid w:val="3F7FB4B5"/>
    <w:rsid w:val="3FAB2AF6"/>
    <w:rsid w:val="3FAD4D11"/>
    <w:rsid w:val="3FDAAF28"/>
    <w:rsid w:val="3FF99DDC"/>
    <w:rsid w:val="3FFEA22C"/>
    <w:rsid w:val="475D4A6B"/>
    <w:rsid w:val="47733BFE"/>
    <w:rsid w:val="493EA6A4"/>
    <w:rsid w:val="4CFF4AC2"/>
    <w:rsid w:val="4F7F9D74"/>
    <w:rsid w:val="4FB7C50E"/>
    <w:rsid w:val="4FB80849"/>
    <w:rsid w:val="4FC7673A"/>
    <w:rsid w:val="4FDF0F27"/>
    <w:rsid w:val="4FF99021"/>
    <w:rsid w:val="53F1AAE0"/>
    <w:rsid w:val="5571F07E"/>
    <w:rsid w:val="577FB1D9"/>
    <w:rsid w:val="59EB10AA"/>
    <w:rsid w:val="5BFEA877"/>
    <w:rsid w:val="5DB7E539"/>
    <w:rsid w:val="5DDF11E9"/>
    <w:rsid w:val="5ED74BA7"/>
    <w:rsid w:val="5EFE6C06"/>
    <w:rsid w:val="5FFCF1D3"/>
    <w:rsid w:val="5FFE21FF"/>
    <w:rsid w:val="5FFF0E11"/>
    <w:rsid w:val="65D361CE"/>
    <w:rsid w:val="66DACB0B"/>
    <w:rsid w:val="677F4E70"/>
    <w:rsid w:val="67E69952"/>
    <w:rsid w:val="67FA7BDF"/>
    <w:rsid w:val="697BF56A"/>
    <w:rsid w:val="6B6CE30F"/>
    <w:rsid w:val="6C7F1319"/>
    <w:rsid w:val="6D5D060E"/>
    <w:rsid w:val="6DDF74AC"/>
    <w:rsid w:val="6DFD25C5"/>
    <w:rsid w:val="6DFEF4DA"/>
    <w:rsid w:val="6E7F2F5D"/>
    <w:rsid w:val="6FAF0D8D"/>
    <w:rsid w:val="6FBF2F09"/>
    <w:rsid w:val="6FCFCADC"/>
    <w:rsid w:val="6FFA4FE6"/>
    <w:rsid w:val="70947DB9"/>
    <w:rsid w:val="71BF1498"/>
    <w:rsid w:val="72D62A3A"/>
    <w:rsid w:val="73F10B85"/>
    <w:rsid w:val="73F94BA2"/>
    <w:rsid w:val="74F94B3D"/>
    <w:rsid w:val="75550A2D"/>
    <w:rsid w:val="75FB0B04"/>
    <w:rsid w:val="763F1A0B"/>
    <w:rsid w:val="76DFBBF9"/>
    <w:rsid w:val="76FB0F5C"/>
    <w:rsid w:val="778FBACD"/>
    <w:rsid w:val="779F036E"/>
    <w:rsid w:val="77BF27FD"/>
    <w:rsid w:val="77E9C0BD"/>
    <w:rsid w:val="77FE18B4"/>
    <w:rsid w:val="78EBB801"/>
    <w:rsid w:val="79AD4D0D"/>
    <w:rsid w:val="79F7B683"/>
    <w:rsid w:val="7A5A4120"/>
    <w:rsid w:val="7A9F196F"/>
    <w:rsid w:val="7AEC4774"/>
    <w:rsid w:val="7AFF58F4"/>
    <w:rsid w:val="7B6E4680"/>
    <w:rsid w:val="7B797089"/>
    <w:rsid w:val="7B8B1C20"/>
    <w:rsid w:val="7B972681"/>
    <w:rsid w:val="7BDD22BF"/>
    <w:rsid w:val="7BDE2557"/>
    <w:rsid w:val="7C30019F"/>
    <w:rsid w:val="7C3F7422"/>
    <w:rsid w:val="7D73BCCE"/>
    <w:rsid w:val="7D9DFB98"/>
    <w:rsid w:val="7DE79FA0"/>
    <w:rsid w:val="7DEBCAFF"/>
    <w:rsid w:val="7DF5BE39"/>
    <w:rsid w:val="7E4BA347"/>
    <w:rsid w:val="7E53A990"/>
    <w:rsid w:val="7E6C7EC6"/>
    <w:rsid w:val="7EDD8B29"/>
    <w:rsid w:val="7EDE074E"/>
    <w:rsid w:val="7EEC6FF4"/>
    <w:rsid w:val="7F791D1F"/>
    <w:rsid w:val="7FA514C2"/>
    <w:rsid w:val="7FBF5D93"/>
    <w:rsid w:val="7FDA09C7"/>
    <w:rsid w:val="7FDC7843"/>
    <w:rsid w:val="7FDD6ED0"/>
    <w:rsid w:val="7FDF3EA0"/>
    <w:rsid w:val="7FEC46C2"/>
    <w:rsid w:val="7FF73252"/>
    <w:rsid w:val="7FF8AF80"/>
    <w:rsid w:val="7FFB48E8"/>
    <w:rsid w:val="7FFDF15C"/>
    <w:rsid w:val="7FFEC53A"/>
    <w:rsid w:val="7FFF25D8"/>
    <w:rsid w:val="876D28D5"/>
    <w:rsid w:val="8F7D868C"/>
    <w:rsid w:val="93F36975"/>
    <w:rsid w:val="955B7750"/>
    <w:rsid w:val="95DB50DC"/>
    <w:rsid w:val="99DED23E"/>
    <w:rsid w:val="9A7F6C18"/>
    <w:rsid w:val="9AD1EE17"/>
    <w:rsid w:val="9AFFAAD6"/>
    <w:rsid w:val="9B9F4025"/>
    <w:rsid w:val="A9FAB101"/>
    <w:rsid w:val="AADF2E0B"/>
    <w:rsid w:val="AB79193F"/>
    <w:rsid w:val="ABBFB061"/>
    <w:rsid w:val="AD1F4668"/>
    <w:rsid w:val="AD9541EE"/>
    <w:rsid w:val="AEF92B7B"/>
    <w:rsid w:val="AF3F5406"/>
    <w:rsid w:val="AFFF32AE"/>
    <w:rsid w:val="B3637FE7"/>
    <w:rsid w:val="B4FDAC27"/>
    <w:rsid w:val="B9D2CE32"/>
    <w:rsid w:val="B9FB6506"/>
    <w:rsid w:val="BB7F118A"/>
    <w:rsid w:val="BBCB338F"/>
    <w:rsid w:val="BCBE2B40"/>
    <w:rsid w:val="BDF9E9DB"/>
    <w:rsid w:val="BDFF1594"/>
    <w:rsid w:val="BDFFFC82"/>
    <w:rsid w:val="BF3F34E0"/>
    <w:rsid w:val="BF673A23"/>
    <w:rsid w:val="BF9F9F62"/>
    <w:rsid w:val="BFB713A4"/>
    <w:rsid w:val="BFBFB204"/>
    <w:rsid w:val="BFF7FAC7"/>
    <w:rsid w:val="BFFB3746"/>
    <w:rsid w:val="BFFBBED2"/>
    <w:rsid w:val="BFFD2550"/>
    <w:rsid w:val="C7EB2CB0"/>
    <w:rsid w:val="C95A288C"/>
    <w:rsid w:val="CAE58507"/>
    <w:rsid w:val="CB65F176"/>
    <w:rsid w:val="CD2464D5"/>
    <w:rsid w:val="CDF1CF67"/>
    <w:rsid w:val="CDF606A8"/>
    <w:rsid w:val="CEDF8B34"/>
    <w:rsid w:val="CF572C1A"/>
    <w:rsid w:val="CFAE9D53"/>
    <w:rsid w:val="CFD6CF0C"/>
    <w:rsid w:val="D2BAD508"/>
    <w:rsid w:val="D3FF9DE8"/>
    <w:rsid w:val="D4DB7B99"/>
    <w:rsid w:val="D7BF0BE5"/>
    <w:rsid w:val="D7F352C8"/>
    <w:rsid w:val="DACD3852"/>
    <w:rsid w:val="DBD99573"/>
    <w:rsid w:val="DBF52C6D"/>
    <w:rsid w:val="DDBFA1EF"/>
    <w:rsid w:val="DDF78395"/>
    <w:rsid w:val="DE7FF6A4"/>
    <w:rsid w:val="DEBE89CF"/>
    <w:rsid w:val="DEFF07CB"/>
    <w:rsid w:val="DF9EFAC6"/>
    <w:rsid w:val="DFBE57F3"/>
    <w:rsid w:val="DFFC7ADA"/>
    <w:rsid w:val="DFFD0F57"/>
    <w:rsid w:val="E2DBE549"/>
    <w:rsid w:val="E3DCB75C"/>
    <w:rsid w:val="E66E9733"/>
    <w:rsid w:val="E67F9E28"/>
    <w:rsid w:val="E73F6BAD"/>
    <w:rsid w:val="E79BB625"/>
    <w:rsid w:val="E7EC2AE4"/>
    <w:rsid w:val="E7F64B8F"/>
    <w:rsid w:val="E7FF8BF5"/>
    <w:rsid w:val="EBEEC057"/>
    <w:rsid w:val="EBFDB0F6"/>
    <w:rsid w:val="EC3E4666"/>
    <w:rsid w:val="EC6F6B97"/>
    <w:rsid w:val="ED7F5062"/>
    <w:rsid w:val="EDC7D936"/>
    <w:rsid w:val="EF65DEBD"/>
    <w:rsid w:val="EFAE0364"/>
    <w:rsid w:val="EFDAC8A0"/>
    <w:rsid w:val="EFF66B6A"/>
    <w:rsid w:val="EFF68A15"/>
    <w:rsid w:val="F0B5AFD4"/>
    <w:rsid w:val="F23B6F11"/>
    <w:rsid w:val="F2FB485F"/>
    <w:rsid w:val="F3826941"/>
    <w:rsid w:val="F3DAEB57"/>
    <w:rsid w:val="F3FDFCF1"/>
    <w:rsid w:val="F4DFC208"/>
    <w:rsid w:val="F4FF59D5"/>
    <w:rsid w:val="F5FE3319"/>
    <w:rsid w:val="F6D2775B"/>
    <w:rsid w:val="F6DEF973"/>
    <w:rsid w:val="F7195613"/>
    <w:rsid w:val="F72B9DFD"/>
    <w:rsid w:val="F7DEECFD"/>
    <w:rsid w:val="F7F5D61E"/>
    <w:rsid w:val="F7FB5490"/>
    <w:rsid w:val="F7FEAA04"/>
    <w:rsid w:val="F7FF4F36"/>
    <w:rsid w:val="F93FA25F"/>
    <w:rsid w:val="F95F47F2"/>
    <w:rsid w:val="F9F76A08"/>
    <w:rsid w:val="FB3D6908"/>
    <w:rsid w:val="FBAF92EA"/>
    <w:rsid w:val="FBB7B09C"/>
    <w:rsid w:val="FBDFEB26"/>
    <w:rsid w:val="FBF71FCC"/>
    <w:rsid w:val="FBFC03F8"/>
    <w:rsid w:val="FC778945"/>
    <w:rsid w:val="FCEF298F"/>
    <w:rsid w:val="FCEFCC7F"/>
    <w:rsid w:val="FD7AACF1"/>
    <w:rsid w:val="FDBEB2D4"/>
    <w:rsid w:val="FDBF85E2"/>
    <w:rsid w:val="FDCBEBE3"/>
    <w:rsid w:val="FDEFBEEF"/>
    <w:rsid w:val="FE2DB941"/>
    <w:rsid w:val="FE7D1806"/>
    <w:rsid w:val="FEB76060"/>
    <w:rsid w:val="FEB7BAAB"/>
    <w:rsid w:val="FEBEB571"/>
    <w:rsid w:val="FEDF3584"/>
    <w:rsid w:val="FEE19A4C"/>
    <w:rsid w:val="FEFFC1BE"/>
    <w:rsid w:val="FF1BEE8F"/>
    <w:rsid w:val="FF1D4DC2"/>
    <w:rsid w:val="FF9BA75F"/>
    <w:rsid w:val="FFBFF1D5"/>
    <w:rsid w:val="FFDFE054"/>
    <w:rsid w:val="FFEBB90B"/>
    <w:rsid w:val="FFEF1192"/>
    <w:rsid w:val="FFEF81CE"/>
    <w:rsid w:val="FFEF9591"/>
    <w:rsid w:val="FFEFF04A"/>
    <w:rsid w:val="FFF4E2CB"/>
    <w:rsid w:val="FFF75E49"/>
    <w:rsid w:val="FFFB866C"/>
    <w:rsid w:val="FFFF30CE"/>
    <w:rsid w:val="FFFF3E43"/>
    <w:rsid w:val="FFFFDC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sz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2017-02-08T07:31:00Z</dcterms:created>
  <dc:creator>null,null,总收发</dc:creator>
  <cp:lastModifiedBy>lenovo</cp:lastModifiedBy>
  <dcterms:modified xsi:type="dcterms:W3CDTF">2024-02-01T15:12:37Z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